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709E" w14:textId="77777777" w:rsidR="00254E75" w:rsidRPr="0072421D" w:rsidRDefault="00876CB4">
      <w:pPr>
        <w:adjustRightInd w:val="0"/>
        <w:snapToGrid w:val="0"/>
        <w:spacing w:line="400" w:lineRule="exact"/>
        <w:rPr>
          <w:rFonts w:ascii="黑体" w:eastAsia="黑体" w:hAnsi="黑体" w:cs="Times New Roman"/>
          <w:sz w:val="28"/>
          <w:szCs w:val="28"/>
        </w:rPr>
      </w:pPr>
      <w:r w:rsidRPr="0072421D">
        <w:rPr>
          <w:rFonts w:ascii="黑体" w:eastAsia="黑体" w:hAnsi="黑体" w:cs="Times New Roman"/>
          <w:sz w:val="28"/>
          <w:szCs w:val="28"/>
        </w:rPr>
        <w:t>附件6：</w:t>
      </w:r>
    </w:p>
    <w:p w14:paraId="43DB464C" w14:textId="77777777" w:rsidR="00254E75" w:rsidRDefault="00876CB4">
      <w:pPr>
        <w:adjustRightInd w:val="0"/>
        <w:snapToGrid w:val="0"/>
        <w:spacing w:line="400" w:lineRule="exact"/>
        <w:ind w:firstLine="198"/>
        <w:jc w:val="center"/>
        <w:rPr>
          <w:rFonts w:ascii="黑体" w:eastAsia="黑体" w:hAnsi="黑体"/>
          <w:b/>
          <w:sz w:val="36"/>
          <w:szCs w:val="36"/>
        </w:rPr>
      </w:pPr>
      <w:r>
        <w:rPr>
          <w:rFonts w:ascii="黑体" w:eastAsia="黑体" w:hAnsi="黑体" w:hint="eastAsia"/>
          <w:b/>
          <w:sz w:val="36"/>
          <w:szCs w:val="36"/>
        </w:rPr>
        <w:t>2021年度国有企业财务会计决算报表</w:t>
      </w:r>
    </w:p>
    <w:p w14:paraId="4E24B6D6" w14:textId="77777777" w:rsidR="00254E75" w:rsidRDefault="00876CB4">
      <w:pPr>
        <w:adjustRightInd w:val="0"/>
        <w:snapToGrid w:val="0"/>
        <w:spacing w:line="400" w:lineRule="exact"/>
        <w:ind w:firstLine="198"/>
        <w:jc w:val="center"/>
        <w:rPr>
          <w:rFonts w:ascii="黑体" w:eastAsia="黑体" w:hAnsi="黑体"/>
          <w:b/>
          <w:sz w:val="36"/>
          <w:szCs w:val="36"/>
        </w:rPr>
      </w:pPr>
      <w:r>
        <w:rPr>
          <w:rFonts w:ascii="黑体" w:eastAsia="黑体" w:hAnsi="黑体" w:hint="eastAsia"/>
          <w:b/>
          <w:sz w:val="36"/>
          <w:szCs w:val="36"/>
        </w:rPr>
        <w:t>[收益情况表]编制说明</w:t>
      </w:r>
    </w:p>
    <w:p w14:paraId="718718CA" w14:textId="77777777" w:rsidR="00254E75" w:rsidRDefault="00876CB4">
      <w:pPr>
        <w:spacing w:line="440" w:lineRule="exact"/>
        <w:rPr>
          <w:rFonts w:ascii="仿宋_GB2312" w:eastAsia="仿宋_GB2312"/>
          <w:sz w:val="28"/>
          <w:szCs w:val="28"/>
        </w:rPr>
      </w:pPr>
      <w:r>
        <w:rPr>
          <w:rFonts w:ascii="仿宋_GB2312" w:eastAsia="仿宋_GB2312" w:hint="eastAsia"/>
          <w:sz w:val="28"/>
          <w:szCs w:val="28"/>
        </w:rPr>
        <w:tab/>
      </w:r>
    </w:p>
    <w:p w14:paraId="66CEF08C" w14:textId="77777777" w:rsidR="00254E75" w:rsidRDefault="00876CB4">
      <w:pPr>
        <w:spacing w:line="440" w:lineRule="exact"/>
        <w:ind w:firstLineChars="196" w:firstLine="470"/>
        <w:rPr>
          <w:rFonts w:ascii="黑体" w:eastAsia="黑体" w:hAnsi="黑体" w:cs="黑体"/>
          <w:bCs/>
          <w:sz w:val="24"/>
          <w:szCs w:val="24"/>
        </w:rPr>
      </w:pPr>
      <w:r>
        <w:rPr>
          <w:rFonts w:ascii="黑体" w:eastAsia="黑体" w:hAnsi="黑体" w:cs="黑体" w:hint="eastAsia"/>
          <w:bCs/>
          <w:sz w:val="24"/>
          <w:szCs w:val="24"/>
        </w:rPr>
        <w:t>一、填报范围</w:t>
      </w:r>
    </w:p>
    <w:p w14:paraId="2BEF0BBE" w14:textId="77777777" w:rsidR="00254E75" w:rsidRDefault="00876CB4">
      <w:pPr>
        <w:spacing w:line="440" w:lineRule="exact"/>
        <w:ind w:firstLineChars="196" w:firstLine="470"/>
        <w:rPr>
          <w:rFonts w:ascii="仿宋_GB2312" w:eastAsia="仿宋_GB2312"/>
          <w:sz w:val="24"/>
          <w:szCs w:val="24"/>
        </w:rPr>
      </w:pPr>
      <w:r>
        <w:rPr>
          <w:rFonts w:ascii="仿宋_GB2312" w:eastAsia="仿宋_GB2312" w:hint="eastAsia"/>
          <w:sz w:val="24"/>
          <w:szCs w:val="24"/>
        </w:rPr>
        <w:t>本表填报范围为2021年纳入中央国有资本经营预算实施范围的中央企业（一级企业）。</w:t>
      </w:r>
    </w:p>
    <w:p w14:paraId="0CA24C8C" w14:textId="77777777" w:rsidR="00254E75" w:rsidRDefault="00876CB4">
      <w:pPr>
        <w:spacing w:line="440" w:lineRule="exact"/>
        <w:ind w:firstLineChars="196" w:firstLine="470"/>
        <w:rPr>
          <w:rFonts w:ascii="黑体" w:eastAsia="黑体" w:hAnsi="黑体" w:cs="黑体"/>
          <w:bCs/>
          <w:sz w:val="24"/>
          <w:szCs w:val="24"/>
        </w:rPr>
      </w:pPr>
      <w:r>
        <w:rPr>
          <w:rFonts w:ascii="黑体" w:eastAsia="黑体" w:hAnsi="黑体" w:cs="黑体" w:hint="eastAsia"/>
          <w:bCs/>
          <w:sz w:val="24"/>
          <w:szCs w:val="24"/>
        </w:rPr>
        <w:t>二、主要指标填报方法</w:t>
      </w:r>
    </w:p>
    <w:p w14:paraId="495F4624" w14:textId="77777777" w:rsidR="00254E75" w:rsidRDefault="00876CB4">
      <w:pPr>
        <w:spacing w:line="440" w:lineRule="exact"/>
        <w:rPr>
          <w:rFonts w:ascii="仿宋_GB2312" w:eastAsia="仿宋_GB2312"/>
          <w:sz w:val="24"/>
          <w:szCs w:val="24"/>
        </w:rPr>
      </w:pPr>
      <w:r>
        <w:rPr>
          <w:rFonts w:ascii="仿宋_GB2312" w:eastAsia="仿宋_GB2312" w:hint="eastAsia"/>
          <w:sz w:val="24"/>
          <w:szCs w:val="24"/>
        </w:rPr>
        <w:tab/>
        <w:t>（一）中央企业国有资本收益（应交利润）情况表（国</w:t>
      </w:r>
      <w:proofErr w:type="gramStart"/>
      <w:r>
        <w:rPr>
          <w:rFonts w:ascii="仿宋_GB2312" w:eastAsia="仿宋_GB2312" w:hint="eastAsia"/>
          <w:sz w:val="24"/>
          <w:szCs w:val="24"/>
        </w:rPr>
        <w:t>资收益</w:t>
      </w:r>
      <w:proofErr w:type="gramEnd"/>
      <w:r>
        <w:rPr>
          <w:rFonts w:ascii="仿宋_GB2312" w:eastAsia="仿宋_GB2312" w:hint="eastAsia"/>
          <w:sz w:val="24"/>
          <w:szCs w:val="24"/>
        </w:rPr>
        <w:t>01表）</w:t>
      </w:r>
    </w:p>
    <w:p w14:paraId="67129E27"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本表由国有独资企业填报，如果国有独资企业拥有全资公司或者控股子公司、子企业的，应当由集团公司（母公司、总公司）以年度合并财务报表反映的数据为基础申报，且在集团合并表级次填报。其中：</w:t>
      </w:r>
    </w:p>
    <w:p w14:paraId="504A3E85"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1.合并净利润（第1行）填报企业集团合并表中的净利润。</w:t>
      </w:r>
      <w:r>
        <w:rPr>
          <w:rFonts w:ascii="仿宋_GB2312" w:eastAsia="仿宋_GB2312" w:hint="eastAsia"/>
          <w:sz w:val="24"/>
          <w:szCs w:val="24"/>
        </w:rPr>
        <w:tab/>
      </w:r>
    </w:p>
    <w:p w14:paraId="4B4D53ED"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2.少数股东损益（第2行）填报企业集团合并表中的少数股东损益。</w:t>
      </w:r>
    </w:p>
    <w:p w14:paraId="70997C3E"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3.弥补以前年度亏损（第4行）填报企业上年未分配利润期末数。</w:t>
      </w:r>
    </w:p>
    <w:p w14:paraId="4B404BDC"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4.提取法定公积金（第5行）填报的数小于等于（归属于母公司所有者净利润-弥补以前年度亏损）×10%。</w:t>
      </w:r>
    </w:p>
    <w:p w14:paraId="7CAB2224"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5.上交利润比例（第7行）根据国务院批准的收益上交比例填报。</w:t>
      </w:r>
    </w:p>
    <w:p w14:paraId="4C49BC82"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6.以前年度欠交利润（第9行）填报以前年度审核应交国有资本收益未完成缴库金额。</w:t>
      </w:r>
    </w:p>
    <w:p w14:paraId="43D1A3C3"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7.以前年度损益调整补交利润（第10行）填报（未分配利润期初数-未分配利润上年的期末数）×收益上交比例，其中清产核资、合并范围变化等因素调整年初未分配利润不作为以前年度损益调整补交利润基数。</w:t>
      </w:r>
    </w:p>
    <w:p w14:paraId="5C845631"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8.本期应免交利润（第11行）针对小</w:t>
      </w:r>
      <w:proofErr w:type="gramStart"/>
      <w:r>
        <w:rPr>
          <w:rFonts w:ascii="仿宋_GB2312" w:eastAsia="仿宋_GB2312" w:hint="eastAsia"/>
          <w:sz w:val="24"/>
          <w:szCs w:val="24"/>
        </w:rPr>
        <w:t>微企业</w:t>
      </w:r>
      <w:proofErr w:type="gramEnd"/>
      <w:r>
        <w:rPr>
          <w:rFonts w:ascii="仿宋_GB2312" w:eastAsia="仿宋_GB2312" w:hint="eastAsia"/>
          <w:sz w:val="24"/>
          <w:szCs w:val="24"/>
        </w:rPr>
        <w:t>且当年收益</w:t>
      </w:r>
      <w:proofErr w:type="gramStart"/>
      <w:r>
        <w:rPr>
          <w:rFonts w:ascii="仿宋_GB2312" w:eastAsia="仿宋_GB2312" w:hint="eastAsia"/>
          <w:sz w:val="24"/>
          <w:szCs w:val="24"/>
        </w:rPr>
        <w:t>不足10万</w:t>
      </w:r>
      <w:proofErr w:type="gramEnd"/>
      <w:r>
        <w:rPr>
          <w:rFonts w:ascii="仿宋_GB2312" w:eastAsia="仿宋_GB2312" w:hint="eastAsia"/>
          <w:sz w:val="24"/>
          <w:szCs w:val="24"/>
        </w:rPr>
        <w:t>的可填报后申请免交国有资本收益。</w:t>
      </w:r>
    </w:p>
    <w:p w14:paraId="5BEB7449"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（二）中央企业国有资本收益（国有股股利、股息）情况表（国</w:t>
      </w:r>
      <w:proofErr w:type="gramStart"/>
      <w:r>
        <w:rPr>
          <w:rFonts w:ascii="仿宋_GB2312" w:eastAsia="仿宋_GB2312" w:hint="eastAsia"/>
          <w:sz w:val="24"/>
          <w:szCs w:val="24"/>
        </w:rPr>
        <w:t>资收益</w:t>
      </w:r>
      <w:proofErr w:type="gramEnd"/>
      <w:r>
        <w:rPr>
          <w:rFonts w:ascii="仿宋_GB2312" w:eastAsia="仿宋_GB2312" w:hint="eastAsia"/>
          <w:sz w:val="24"/>
          <w:szCs w:val="24"/>
        </w:rPr>
        <w:t>02表）</w:t>
      </w:r>
    </w:p>
    <w:p w14:paraId="72D8F03B"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本表由国有控股企业或国有参股企业在集团合并表级次填报。其中：</w:t>
      </w:r>
    </w:p>
    <w:p w14:paraId="0784EDDD"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1.合并净利润（第1行）填报企业集团合并表中的净利润。</w:t>
      </w:r>
    </w:p>
    <w:p w14:paraId="11A5F674"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2.少数股东损益（第2行）填报企业集团合并表中的少数股东损益。</w:t>
      </w:r>
    </w:p>
    <w:p w14:paraId="26EC7857"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3.年初未分配利润（第4行）填报企业上年未分配利润期末数。</w:t>
      </w:r>
    </w:p>
    <w:p w14:paraId="58D15DEC"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lastRenderedPageBreak/>
        <w:t>4.提取法定公积金（第5行）填报的数小于等于归属于母公司所有者净利润的10%。</w:t>
      </w:r>
    </w:p>
    <w:p w14:paraId="730D090A"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5.当年可供投资者分配利润（第6行）填报经股东会或者股东大会（未设立股东会或者股东大会的为董事会）表决通过的利润分配金额。</w:t>
      </w:r>
    </w:p>
    <w:p w14:paraId="5620AA76"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6.上交利润比例（第9行）参照同行业国有独资企业的收益上交比例填报。</w:t>
      </w:r>
    </w:p>
    <w:p w14:paraId="3E384503"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7.国有股权（股份）所占比例（含社保基金）（第12行）填报国有股权（股份占比，含划转社保基金会比例。</w:t>
      </w:r>
    </w:p>
    <w:p w14:paraId="0FBC5D42" w14:textId="77777777" w:rsidR="00254E75" w:rsidRDefault="00876CB4">
      <w:pPr>
        <w:spacing w:line="440" w:lineRule="exact"/>
        <w:ind w:firstLineChars="200" w:firstLine="480"/>
        <w:rPr>
          <w:rFonts w:ascii="仿宋_GB2312" w:eastAsia="仿宋_GB2312"/>
          <w:sz w:val="24"/>
          <w:szCs w:val="24"/>
        </w:rPr>
      </w:pPr>
      <w:r>
        <w:rPr>
          <w:rFonts w:ascii="仿宋_GB2312" w:eastAsia="仿宋_GB2312" w:hint="eastAsia"/>
          <w:sz w:val="24"/>
          <w:szCs w:val="24"/>
        </w:rPr>
        <w:t>8.以前年度欠交的国有股股利、股息（第15行）填报以前年度审核后未上交的国有资本收益或以前年度未申报经审核后需补交的国有资本收益。</w:t>
      </w:r>
    </w:p>
    <w:p w14:paraId="4852664C" w14:textId="77777777" w:rsidR="00254E75" w:rsidRDefault="00254E75">
      <w:pPr>
        <w:spacing w:line="440" w:lineRule="exact"/>
        <w:ind w:firstLineChars="200" w:firstLine="480"/>
        <w:rPr>
          <w:rFonts w:ascii="仿宋_GB2312" w:eastAsia="仿宋_GB2312"/>
          <w:sz w:val="24"/>
          <w:szCs w:val="24"/>
        </w:rPr>
      </w:pPr>
    </w:p>
    <w:sectPr w:rsidR="00254E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F21A" w14:textId="77777777" w:rsidR="003E28C2" w:rsidRDefault="003E28C2">
      <w:r>
        <w:separator/>
      </w:r>
    </w:p>
  </w:endnote>
  <w:endnote w:type="continuationSeparator" w:id="0">
    <w:p w14:paraId="5477DE7C" w14:textId="77777777" w:rsidR="003E28C2" w:rsidRDefault="003E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71232"/>
    </w:sdtPr>
    <w:sdtEndPr/>
    <w:sdtContent>
      <w:p w14:paraId="24909A67" w14:textId="77777777" w:rsidR="00254E75" w:rsidRDefault="00876CB4">
        <w:pPr>
          <w:pStyle w:val="a3"/>
          <w:jc w:val="center"/>
        </w:pPr>
        <w:r>
          <w:fldChar w:fldCharType="begin"/>
        </w:r>
        <w:r>
          <w:instrText>PAGE   \* MERGEFORMAT</w:instrText>
        </w:r>
        <w:r>
          <w:fldChar w:fldCharType="separate"/>
        </w:r>
        <w:r>
          <w:rPr>
            <w:lang w:val="zh-CN"/>
          </w:rPr>
          <w:t>1</w:t>
        </w:r>
        <w:r>
          <w:fldChar w:fldCharType="end"/>
        </w:r>
      </w:p>
    </w:sdtContent>
  </w:sdt>
  <w:p w14:paraId="5A8014E4" w14:textId="77777777" w:rsidR="00254E75" w:rsidRDefault="00254E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B103" w14:textId="77777777" w:rsidR="003E28C2" w:rsidRDefault="003E28C2">
      <w:r>
        <w:separator/>
      </w:r>
    </w:p>
  </w:footnote>
  <w:footnote w:type="continuationSeparator" w:id="0">
    <w:p w14:paraId="3086F83F" w14:textId="77777777" w:rsidR="003E28C2" w:rsidRDefault="003E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3086"/>
    <w:rsid w:val="0009008A"/>
    <w:rsid w:val="000D40F7"/>
    <w:rsid w:val="001004D9"/>
    <w:rsid w:val="00103A86"/>
    <w:rsid w:val="00153086"/>
    <w:rsid w:val="00190163"/>
    <w:rsid w:val="001B0718"/>
    <w:rsid w:val="001B4353"/>
    <w:rsid w:val="001C0668"/>
    <w:rsid w:val="001E1D1E"/>
    <w:rsid w:val="0022379B"/>
    <w:rsid w:val="00254E75"/>
    <w:rsid w:val="002C1009"/>
    <w:rsid w:val="00313A7A"/>
    <w:rsid w:val="00373E68"/>
    <w:rsid w:val="003774C4"/>
    <w:rsid w:val="003C78AC"/>
    <w:rsid w:val="003E28C2"/>
    <w:rsid w:val="003E69C0"/>
    <w:rsid w:val="00447262"/>
    <w:rsid w:val="004A1A1C"/>
    <w:rsid w:val="004B3F59"/>
    <w:rsid w:val="004C2A3B"/>
    <w:rsid w:val="004C52D0"/>
    <w:rsid w:val="0052668C"/>
    <w:rsid w:val="0056653A"/>
    <w:rsid w:val="005D2D0C"/>
    <w:rsid w:val="00632BBB"/>
    <w:rsid w:val="006641D5"/>
    <w:rsid w:val="0067328F"/>
    <w:rsid w:val="0072421D"/>
    <w:rsid w:val="00760B19"/>
    <w:rsid w:val="007A4C3C"/>
    <w:rsid w:val="007B27D5"/>
    <w:rsid w:val="00812443"/>
    <w:rsid w:val="008146C1"/>
    <w:rsid w:val="00876CB4"/>
    <w:rsid w:val="00915037"/>
    <w:rsid w:val="00925F0E"/>
    <w:rsid w:val="00934B7E"/>
    <w:rsid w:val="00966FC2"/>
    <w:rsid w:val="009848EF"/>
    <w:rsid w:val="009C0DAC"/>
    <w:rsid w:val="009E1625"/>
    <w:rsid w:val="00A40771"/>
    <w:rsid w:val="00A61A44"/>
    <w:rsid w:val="00B83CD2"/>
    <w:rsid w:val="00C122BD"/>
    <w:rsid w:val="00CA0D2B"/>
    <w:rsid w:val="00CA6361"/>
    <w:rsid w:val="00D07B69"/>
    <w:rsid w:val="00D10755"/>
    <w:rsid w:val="00D31C9B"/>
    <w:rsid w:val="00D57FF0"/>
    <w:rsid w:val="00D8534F"/>
    <w:rsid w:val="00DE0533"/>
    <w:rsid w:val="00DF7FCE"/>
    <w:rsid w:val="00E250B6"/>
    <w:rsid w:val="00E97CCE"/>
    <w:rsid w:val="00F039CF"/>
    <w:rsid w:val="00F0579E"/>
    <w:rsid w:val="00F16655"/>
    <w:rsid w:val="00F25C74"/>
    <w:rsid w:val="00F35C96"/>
    <w:rsid w:val="00F66A42"/>
    <w:rsid w:val="00F7239B"/>
    <w:rsid w:val="00FA262A"/>
    <w:rsid w:val="15DEC9C7"/>
    <w:rsid w:val="5232642B"/>
    <w:rsid w:val="5CFA0A95"/>
    <w:rsid w:val="5FDC2968"/>
    <w:rsid w:val="79F5B181"/>
    <w:rsid w:val="7EF7F6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6087"/>
  <w15:docId w15:val="{DF18D806-3481-4126-A821-B6EAD4B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844</Characters>
  <Application>Microsoft Office Word</Application>
  <DocSecurity>0</DocSecurity>
  <Lines>7</Lines>
  <Paragraphs>1</Paragraphs>
  <ScaleCrop>false</ScaleCrop>
  <Company>china</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斯琴</cp:lastModifiedBy>
  <cp:revision>30</cp:revision>
  <cp:lastPrinted>2018-12-09T02:13:00Z</cp:lastPrinted>
  <dcterms:created xsi:type="dcterms:W3CDTF">2018-11-01T02:41:00Z</dcterms:created>
  <dcterms:modified xsi:type="dcterms:W3CDTF">2022-01-19T07:53:00Z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